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BD" w:rsidRPr="001A18BD" w:rsidRDefault="001A18BD" w:rsidP="001A18BD">
      <w:pPr>
        <w:jc w:val="center"/>
        <w:rPr>
          <w:rFonts w:eastAsiaTheme="minorEastAsia" w:hAnsi="Calibri"/>
          <w:color w:val="000000" w:themeColor="text1"/>
          <w:kern w:val="24"/>
          <w:sz w:val="24"/>
          <w:szCs w:val="24"/>
          <w:u w:val="single"/>
        </w:rPr>
      </w:pPr>
      <w:r w:rsidRPr="001A18BD">
        <w:rPr>
          <w:rFonts w:eastAsiaTheme="minorEastAsia" w:hAnsi="Calibri"/>
          <w:color w:val="000000" w:themeColor="text1"/>
          <w:kern w:val="24"/>
          <w:sz w:val="24"/>
          <w:szCs w:val="24"/>
          <w:u w:val="single"/>
        </w:rPr>
        <w:t>Care for Kids Information for Resource Sharing through Scott County Kids</w:t>
      </w:r>
    </w:p>
    <w:p w:rsidR="0099609A" w:rsidRDefault="0099609A" w:rsidP="0099609A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9609A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Care for Kids</w:t>
      </w:r>
      <w:r w:rsidRPr="0099609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is </w:t>
      </w:r>
      <w:r w:rsidRPr="0099609A">
        <w:rPr>
          <w:rFonts w:eastAsiaTheme="minorEastAsia" w:hAnsi="Calibri"/>
          <w:color w:val="000000" w:themeColor="text1"/>
          <w:kern w:val="24"/>
          <w:sz w:val="24"/>
          <w:szCs w:val="24"/>
        </w:rPr>
        <w:t>Iowa’s Early &amp; Periodic Screening, Diagnosis &amp; Treatment (EPSDT)</w:t>
      </w:r>
      <w:r w:rsidRPr="0099609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Program</w:t>
      </w:r>
      <w:r w:rsidRPr="0099609A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It is managed under Medicaid and all services are provided to Iowa Medicaid enrollees’ age birth to 21 years </w:t>
      </w:r>
      <w:r w:rsidR="004C7B4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who are residing in Scott County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at no cost. The goal of the </w:t>
      </w:r>
      <w:r w:rsidRPr="0099609A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Care for Kids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Program is to ensure that children ages birth to 21 receive preventative health care services by helping to reduce and overcome barriers to accessing health care.</w:t>
      </w:r>
    </w:p>
    <w:p w:rsidR="0099609A" w:rsidRDefault="0099609A" w:rsidP="0099609A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9609A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Care for Kids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provides assistance with finding health care providers and establishing medical, dental and vision homes. Assistance is provided to schedule health care appointments and to </w:t>
      </w:r>
      <w:r w:rsidR="002321B5">
        <w:rPr>
          <w:rFonts w:eastAsiaTheme="minorEastAsia" w:hAnsi="Calibri"/>
          <w:color w:val="000000" w:themeColor="text1"/>
          <w:kern w:val="24"/>
          <w:sz w:val="24"/>
          <w:szCs w:val="24"/>
        </w:rPr>
        <w:t>provide reminders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of scheduled appointments. </w:t>
      </w:r>
      <w:r w:rsidRPr="0099609A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Care for Kids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provides free transportation to and from health care appointments for Medicaid enrollees residing in Bettendorf and Davenport. </w:t>
      </w:r>
    </w:p>
    <w:p w:rsidR="0099609A" w:rsidRDefault="0099609A" w:rsidP="0099609A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9609A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Care for Kids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notifies families when their child is due for recommended well child exam</w:t>
      </w:r>
      <w:r w:rsidR="00233A97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 and </w:t>
      </w:r>
      <w:r w:rsidR="00A5596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can provide free developmental screenings for </w:t>
      </w:r>
      <w:r w:rsidR="00233A97">
        <w:rPr>
          <w:rFonts w:eastAsiaTheme="minorEastAsia" w:hAnsi="Calibri"/>
          <w:color w:val="000000" w:themeColor="text1"/>
          <w:kern w:val="24"/>
          <w:sz w:val="24"/>
          <w:szCs w:val="24"/>
        </w:rPr>
        <w:t>families</w:t>
      </w:r>
      <w:r w:rsidR="00A5596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to help tell </w:t>
      </w:r>
      <w:r w:rsidR="00233A97">
        <w:rPr>
          <w:rFonts w:eastAsiaTheme="minorEastAsia" w:hAnsi="Calibri"/>
          <w:color w:val="000000" w:themeColor="text1"/>
          <w:kern w:val="24"/>
          <w:sz w:val="24"/>
          <w:szCs w:val="24"/>
        </w:rPr>
        <w:t>them their</w:t>
      </w:r>
      <w:r w:rsidR="00A5596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child’s strengths, show any areas of concern, and tell </w:t>
      </w:r>
      <w:r w:rsidR="00233A97">
        <w:rPr>
          <w:rFonts w:eastAsiaTheme="minorEastAsia" w:hAnsi="Calibri"/>
          <w:color w:val="000000" w:themeColor="text1"/>
          <w:kern w:val="24"/>
          <w:sz w:val="24"/>
          <w:szCs w:val="24"/>
        </w:rPr>
        <w:t>families</w:t>
      </w:r>
      <w:r w:rsidR="00A5596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if there are community resources or services, such as the Early ACCESS Program, that can be helpful for </w:t>
      </w:r>
      <w:r w:rsidR="00233A97">
        <w:rPr>
          <w:rFonts w:eastAsiaTheme="minorEastAsia" w:hAnsi="Calibri"/>
          <w:color w:val="000000" w:themeColor="text1"/>
          <w:kern w:val="24"/>
          <w:sz w:val="24"/>
          <w:szCs w:val="24"/>
        </w:rPr>
        <w:t>their</w:t>
      </w:r>
      <w:r w:rsidR="00A5596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child or </w:t>
      </w:r>
      <w:r w:rsidR="00233A97">
        <w:rPr>
          <w:rFonts w:eastAsiaTheme="minorEastAsia" w:hAnsi="Calibri"/>
          <w:color w:val="000000" w:themeColor="text1"/>
          <w:kern w:val="24"/>
          <w:sz w:val="24"/>
          <w:szCs w:val="24"/>
        </w:rPr>
        <w:t>their</w:t>
      </w:r>
      <w:r w:rsidR="00A5596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family. </w:t>
      </w:r>
    </w:p>
    <w:p w:rsidR="001A4FDD" w:rsidRPr="0099609A" w:rsidRDefault="001A4FDD" w:rsidP="0099609A">
      <w:pPr>
        <w:rPr>
          <w:sz w:val="24"/>
          <w:szCs w:val="24"/>
        </w:rPr>
      </w:pPr>
      <w:r w:rsidRPr="001A4FDD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Care for Kids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also maintains a comprehensive database of community resources and 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can provide referrals to other local community resources. </w:t>
      </w:r>
      <w:r w:rsidR="005B5F4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All </w:t>
      </w:r>
      <w:r w:rsidR="005B5F41" w:rsidRPr="001A18BD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Care for Kids</w:t>
      </w:r>
      <w:r w:rsidR="005B5F4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services can be accessed by calling (563) 328-4114.</w:t>
      </w:r>
    </w:p>
    <w:p w:rsidR="00AB6426" w:rsidRDefault="00AB6426">
      <w:bookmarkStart w:id="0" w:name="_GoBack"/>
      <w:bookmarkEnd w:id="0"/>
    </w:p>
    <w:sectPr w:rsidR="00AB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425C"/>
    <w:multiLevelType w:val="hybridMultilevel"/>
    <w:tmpl w:val="1B3AC960"/>
    <w:lvl w:ilvl="0" w:tplc="1A34A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6E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29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A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A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E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47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C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AA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A"/>
    <w:rsid w:val="001A18BD"/>
    <w:rsid w:val="001A4FDD"/>
    <w:rsid w:val="002321B5"/>
    <w:rsid w:val="00233A97"/>
    <w:rsid w:val="004C7B44"/>
    <w:rsid w:val="005B5F41"/>
    <w:rsid w:val="008234C2"/>
    <w:rsid w:val="0099609A"/>
    <w:rsid w:val="00A5596A"/>
    <w:rsid w:val="00AB6426"/>
    <w:rsid w:val="00B657B2"/>
    <w:rsid w:val="00D96110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Tara</dc:creator>
  <cp:lastModifiedBy>Marriott, Tara</cp:lastModifiedBy>
  <cp:revision>12</cp:revision>
  <dcterms:created xsi:type="dcterms:W3CDTF">2015-05-06T19:23:00Z</dcterms:created>
  <dcterms:modified xsi:type="dcterms:W3CDTF">2015-05-06T21:23:00Z</dcterms:modified>
</cp:coreProperties>
</file>